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F651" w14:textId="171E5731" w:rsidR="002148D0" w:rsidRDefault="007A0D5A" w:rsidP="00AE5F4F">
      <w:pPr>
        <w:pStyle w:val="Akapitzlist"/>
        <w:ind w:left="0"/>
        <w:jc w:val="both"/>
        <w:rPr>
          <w:rFonts w:ascii="Arial" w:hAnsi="Arial" w:cs="Arial"/>
          <w:sz w:val="28"/>
          <w:szCs w:val="36"/>
        </w:rPr>
      </w:pPr>
      <w:r w:rsidRPr="000B467F">
        <w:rPr>
          <w:rFonts w:ascii="Arial" w:hAnsi="Arial" w:cs="Arial"/>
          <w:sz w:val="28"/>
          <w:szCs w:val="36"/>
        </w:rPr>
        <w:t>Gmina Tryńcza jest gminą wiejską położoną na terenie powiatu przeworskiego w województwie podkarpackim. W dziewięciu sołectwach zamieszkuje tutaj ponad 8,5 tys. mieszkańców. Gmina za pomocą swoich jednostek organizacyjnych realizuje zadania m</w:t>
      </w:r>
      <w:r w:rsidR="00A32430">
        <w:rPr>
          <w:rFonts w:ascii="Arial" w:hAnsi="Arial" w:cs="Arial"/>
          <w:sz w:val="28"/>
          <w:szCs w:val="36"/>
        </w:rPr>
        <w:t>iedzy</w:t>
      </w:r>
      <w:r w:rsidRPr="000B467F">
        <w:rPr>
          <w:rFonts w:ascii="Arial" w:hAnsi="Arial" w:cs="Arial"/>
          <w:sz w:val="28"/>
          <w:szCs w:val="36"/>
        </w:rPr>
        <w:t xml:space="preserve"> in</w:t>
      </w:r>
      <w:r w:rsidR="00A32430">
        <w:rPr>
          <w:rFonts w:ascii="Arial" w:hAnsi="Arial" w:cs="Arial"/>
          <w:sz w:val="28"/>
          <w:szCs w:val="36"/>
        </w:rPr>
        <w:t>nymi</w:t>
      </w:r>
      <w:r w:rsidRPr="000B467F">
        <w:rPr>
          <w:rFonts w:ascii="Arial" w:hAnsi="Arial" w:cs="Arial"/>
          <w:sz w:val="28"/>
          <w:szCs w:val="36"/>
        </w:rPr>
        <w:t xml:space="preserve"> w sferach społeczn</w:t>
      </w:r>
      <w:r w:rsidR="00A32430">
        <w:rPr>
          <w:rFonts w:ascii="Arial" w:hAnsi="Arial" w:cs="Arial"/>
          <w:sz w:val="28"/>
          <w:szCs w:val="36"/>
        </w:rPr>
        <w:t>ej</w:t>
      </w:r>
      <w:r w:rsidRPr="000B467F">
        <w:rPr>
          <w:rFonts w:ascii="Arial" w:hAnsi="Arial" w:cs="Arial"/>
          <w:sz w:val="28"/>
          <w:szCs w:val="36"/>
        </w:rPr>
        <w:t>, edukacyjn</w:t>
      </w:r>
      <w:r w:rsidR="00A32430">
        <w:rPr>
          <w:rFonts w:ascii="Arial" w:hAnsi="Arial" w:cs="Arial"/>
          <w:sz w:val="28"/>
          <w:szCs w:val="36"/>
        </w:rPr>
        <w:t>ej</w:t>
      </w:r>
      <w:r w:rsidRPr="000B467F">
        <w:rPr>
          <w:rFonts w:ascii="Arial" w:hAnsi="Arial" w:cs="Arial"/>
          <w:sz w:val="28"/>
          <w:szCs w:val="36"/>
        </w:rPr>
        <w:t xml:space="preserve"> i kulturaln</w:t>
      </w:r>
      <w:r w:rsidR="00A32430">
        <w:rPr>
          <w:rFonts w:ascii="Arial" w:hAnsi="Arial" w:cs="Arial"/>
          <w:sz w:val="28"/>
          <w:szCs w:val="36"/>
        </w:rPr>
        <w:t>ej</w:t>
      </w:r>
      <w:r w:rsidRPr="000B467F">
        <w:rPr>
          <w:rFonts w:ascii="Arial" w:hAnsi="Arial" w:cs="Arial"/>
          <w:sz w:val="28"/>
          <w:szCs w:val="36"/>
        </w:rPr>
        <w:t xml:space="preserve">. </w:t>
      </w:r>
    </w:p>
    <w:p w14:paraId="41973F04" w14:textId="77777777" w:rsidR="002148D0" w:rsidRDefault="002148D0" w:rsidP="00241D81">
      <w:pPr>
        <w:pStyle w:val="Akapitzlist"/>
        <w:ind w:left="0"/>
        <w:jc w:val="both"/>
        <w:rPr>
          <w:rFonts w:ascii="Arial" w:hAnsi="Arial" w:cs="Arial"/>
          <w:sz w:val="28"/>
          <w:szCs w:val="36"/>
        </w:rPr>
      </w:pPr>
    </w:p>
    <w:p w14:paraId="62596221" w14:textId="5898DEAA" w:rsidR="00707584" w:rsidRDefault="007A0D5A" w:rsidP="00241D81">
      <w:pPr>
        <w:pStyle w:val="Akapitzlist"/>
        <w:ind w:left="0"/>
        <w:jc w:val="both"/>
        <w:rPr>
          <w:rFonts w:ascii="Arial" w:hAnsi="Arial" w:cs="Arial"/>
          <w:sz w:val="28"/>
          <w:szCs w:val="36"/>
        </w:rPr>
      </w:pPr>
      <w:r w:rsidRPr="000B467F">
        <w:rPr>
          <w:rFonts w:ascii="Arial" w:hAnsi="Arial" w:cs="Arial"/>
          <w:sz w:val="28"/>
          <w:szCs w:val="36"/>
        </w:rPr>
        <w:t>Najważniejsze informacje o działalności gminy można uzyskać w Urzędzie Gminy Tryńcza, zlokalizowanym pod adresem Tryńcza 127, 37-204 Tryńcza lub pod nr telefonu 16 642 12 21</w:t>
      </w:r>
      <w:r w:rsidR="00241D81">
        <w:rPr>
          <w:rFonts w:ascii="Arial" w:hAnsi="Arial" w:cs="Arial"/>
          <w:sz w:val="28"/>
          <w:szCs w:val="36"/>
        </w:rPr>
        <w:t>,</w:t>
      </w:r>
      <w:r w:rsidR="006C4BAB">
        <w:rPr>
          <w:rFonts w:ascii="Arial" w:hAnsi="Arial" w:cs="Arial"/>
          <w:sz w:val="28"/>
          <w:szCs w:val="36"/>
        </w:rPr>
        <w:t xml:space="preserve"> </w:t>
      </w:r>
      <w:r w:rsidR="00707584">
        <w:rPr>
          <w:rFonts w:ascii="Arial" w:hAnsi="Arial" w:cs="Arial"/>
          <w:sz w:val="28"/>
          <w:szCs w:val="36"/>
        </w:rPr>
        <w:t xml:space="preserve">lub pod adresem e-mail </w:t>
      </w:r>
      <w:r w:rsidR="006C4BAB" w:rsidRPr="006C4BAB">
        <w:rPr>
          <w:rFonts w:ascii="Arial" w:hAnsi="Arial" w:cs="Arial"/>
          <w:sz w:val="28"/>
          <w:szCs w:val="36"/>
        </w:rPr>
        <w:t>ug.tryncza@data.pl</w:t>
      </w:r>
      <w:r w:rsidR="006C4BAB">
        <w:rPr>
          <w:rFonts w:ascii="Arial" w:hAnsi="Arial" w:cs="Arial"/>
          <w:sz w:val="28"/>
          <w:szCs w:val="36"/>
        </w:rPr>
        <w:t xml:space="preserve"> oraz na stronie internetowej tryncza.eu.</w:t>
      </w:r>
    </w:p>
    <w:p w14:paraId="1A16787D" w14:textId="77777777" w:rsidR="006C4BAB" w:rsidRDefault="006C4BAB" w:rsidP="004021EE">
      <w:pPr>
        <w:pStyle w:val="Akapitzlist"/>
        <w:ind w:left="0"/>
        <w:rPr>
          <w:rFonts w:ascii="Arial" w:hAnsi="Arial" w:cs="Arial"/>
          <w:sz w:val="28"/>
          <w:szCs w:val="36"/>
        </w:rPr>
      </w:pPr>
    </w:p>
    <w:p w14:paraId="6B19077C" w14:textId="08D43250" w:rsidR="006C4BAB" w:rsidRDefault="006C4BAB" w:rsidP="0078776E">
      <w:pPr>
        <w:pStyle w:val="Akapitzlist"/>
        <w:ind w:left="0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Najważniejsze informacje na stronie internetowej pogrupowane są w kolejnych zakładkach:</w:t>
      </w:r>
      <w:r w:rsidR="00C804BB">
        <w:rPr>
          <w:rFonts w:ascii="Arial" w:hAnsi="Arial" w:cs="Arial"/>
          <w:sz w:val="28"/>
          <w:szCs w:val="36"/>
        </w:rPr>
        <w:t xml:space="preserve"> gmina, samorząd, jednostki podległe, oświata, dla inwestora, dla mieszkańca, sport, kultura, atrakcje turystyczne.</w:t>
      </w:r>
    </w:p>
    <w:p w14:paraId="668CF765" w14:textId="77777777" w:rsidR="002148D0" w:rsidRPr="000B467F" w:rsidRDefault="002148D0" w:rsidP="00241D81">
      <w:pPr>
        <w:pStyle w:val="Akapitzlist"/>
        <w:ind w:left="0"/>
        <w:jc w:val="both"/>
        <w:rPr>
          <w:rFonts w:ascii="Arial" w:hAnsi="Arial" w:cs="Arial"/>
          <w:sz w:val="28"/>
          <w:szCs w:val="36"/>
        </w:rPr>
      </w:pPr>
    </w:p>
    <w:p w14:paraId="48FBD1E8" w14:textId="59AA5CF5" w:rsidR="002148D0" w:rsidRDefault="007A0D5A" w:rsidP="00241D81">
      <w:pPr>
        <w:pStyle w:val="Akapitzlist"/>
        <w:ind w:left="0"/>
        <w:jc w:val="both"/>
        <w:rPr>
          <w:rFonts w:ascii="Arial" w:hAnsi="Arial" w:cs="Arial"/>
          <w:sz w:val="28"/>
          <w:szCs w:val="36"/>
        </w:rPr>
      </w:pPr>
      <w:r w:rsidRPr="000B467F">
        <w:rPr>
          <w:rFonts w:ascii="Arial" w:hAnsi="Arial" w:cs="Arial"/>
          <w:sz w:val="28"/>
          <w:szCs w:val="36"/>
        </w:rPr>
        <w:t>Głównym celem</w:t>
      </w:r>
      <w:r w:rsidR="002148D0">
        <w:rPr>
          <w:rFonts w:ascii="Arial" w:hAnsi="Arial" w:cs="Arial"/>
          <w:sz w:val="28"/>
          <w:szCs w:val="36"/>
        </w:rPr>
        <w:t xml:space="preserve"> aktywności </w:t>
      </w:r>
      <w:r w:rsidRPr="000B467F">
        <w:rPr>
          <w:rFonts w:ascii="Arial" w:hAnsi="Arial" w:cs="Arial"/>
          <w:sz w:val="28"/>
          <w:szCs w:val="36"/>
        </w:rPr>
        <w:t xml:space="preserve">gminy są działania </w:t>
      </w:r>
      <w:r w:rsidR="00241D81">
        <w:rPr>
          <w:rFonts w:ascii="Arial" w:hAnsi="Arial" w:cs="Arial"/>
          <w:sz w:val="28"/>
          <w:szCs w:val="36"/>
        </w:rPr>
        <w:t>zmierzające do jej</w:t>
      </w:r>
      <w:r w:rsidRPr="000B467F">
        <w:rPr>
          <w:rFonts w:ascii="Arial" w:hAnsi="Arial" w:cs="Arial"/>
          <w:sz w:val="28"/>
          <w:szCs w:val="36"/>
        </w:rPr>
        <w:t xml:space="preserve"> </w:t>
      </w:r>
      <w:r w:rsidR="00C804BB">
        <w:rPr>
          <w:rFonts w:ascii="Arial" w:hAnsi="Arial" w:cs="Arial"/>
          <w:sz w:val="28"/>
          <w:szCs w:val="36"/>
        </w:rPr>
        <w:t xml:space="preserve">wszechstronnego </w:t>
      </w:r>
      <w:r w:rsidRPr="000B467F">
        <w:rPr>
          <w:rFonts w:ascii="Arial" w:hAnsi="Arial" w:cs="Arial"/>
          <w:sz w:val="28"/>
          <w:szCs w:val="36"/>
        </w:rPr>
        <w:t>rozw</w:t>
      </w:r>
      <w:r w:rsidR="00241D81">
        <w:rPr>
          <w:rFonts w:ascii="Arial" w:hAnsi="Arial" w:cs="Arial"/>
          <w:sz w:val="28"/>
          <w:szCs w:val="36"/>
        </w:rPr>
        <w:t>oju</w:t>
      </w:r>
      <w:r w:rsidRPr="000B467F">
        <w:rPr>
          <w:rFonts w:ascii="Arial" w:hAnsi="Arial" w:cs="Arial"/>
          <w:sz w:val="28"/>
          <w:szCs w:val="36"/>
        </w:rPr>
        <w:t xml:space="preserve">. </w:t>
      </w:r>
      <w:r w:rsidR="00241D81">
        <w:rPr>
          <w:rFonts w:ascii="Arial" w:hAnsi="Arial" w:cs="Arial"/>
          <w:sz w:val="28"/>
          <w:szCs w:val="36"/>
        </w:rPr>
        <w:t xml:space="preserve">Oznacza to </w:t>
      </w:r>
      <w:r w:rsidRPr="000B467F">
        <w:rPr>
          <w:rFonts w:ascii="Arial" w:hAnsi="Arial" w:cs="Arial"/>
          <w:bCs/>
          <w:sz w:val="28"/>
          <w:szCs w:val="36"/>
        </w:rPr>
        <w:t>wysoki poziom infrastruktury edukac</w:t>
      </w:r>
      <w:r w:rsidR="00C47CE7">
        <w:rPr>
          <w:rFonts w:ascii="Arial" w:hAnsi="Arial" w:cs="Arial"/>
          <w:bCs/>
          <w:sz w:val="28"/>
          <w:szCs w:val="36"/>
        </w:rPr>
        <w:t>yjnej</w:t>
      </w:r>
      <w:r w:rsidRPr="000B467F">
        <w:rPr>
          <w:rFonts w:ascii="Arial" w:hAnsi="Arial" w:cs="Arial"/>
          <w:bCs/>
          <w:sz w:val="28"/>
          <w:szCs w:val="36"/>
        </w:rPr>
        <w:t>, dobrze rozbudowaną, nowoczesną i łatwo dostępną sieć infrastruktury technicznej</w:t>
      </w:r>
      <w:r w:rsidRPr="000B467F">
        <w:rPr>
          <w:rFonts w:ascii="Arial" w:hAnsi="Arial" w:cs="Arial"/>
          <w:sz w:val="28"/>
          <w:szCs w:val="36"/>
        </w:rPr>
        <w:t>.  </w:t>
      </w:r>
    </w:p>
    <w:p w14:paraId="059DDB17" w14:textId="0BFF9389" w:rsidR="00A212DA" w:rsidRDefault="00A212DA" w:rsidP="004021EE">
      <w:pPr>
        <w:pStyle w:val="Akapitzlist"/>
        <w:ind w:left="0"/>
        <w:rPr>
          <w:rFonts w:ascii="Arial" w:hAnsi="Arial" w:cs="Arial"/>
          <w:sz w:val="28"/>
          <w:szCs w:val="36"/>
        </w:rPr>
      </w:pPr>
    </w:p>
    <w:p w14:paraId="08169F18" w14:textId="638BF269" w:rsidR="00A212DA" w:rsidRDefault="00A212DA" w:rsidP="00A212DA">
      <w:pPr>
        <w:pStyle w:val="Akapitzlist"/>
        <w:ind w:left="0"/>
        <w:jc w:val="both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28"/>
        </w:rPr>
        <w:t xml:space="preserve">Gmina Tryńcza pochwalić się może szeregiem organizacji pozarządowych, które aktywnie pracują wspierając działania gminy w realizowanych przez nią zadaniach, szczególnie społecznych, edukacyjnych i kulturalnych. Są </w:t>
      </w:r>
      <w:r w:rsidR="001A5A95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jednostki Ochotniczej Straży Pożarnej, kluby sportowe, Lokalna Grupa Działania „</w:t>
      </w:r>
      <w:r w:rsidR="00A13B84">
        <w:rPr>
          <w:rFonts w:ascii="Arial" w:hAnsi="Arial" w:cs="Arial"/>
          <w:sz w:val="28"/>
          <w:szCs w:val="28"/>
        </w:rPr>
        <w:t>Kraina</w:t>
      </w:r>
      <w:r>
        <w:rPr>
          <w:rFonts w:ascii="Arial" w:hAnsi="Arial" w:cs="Arial"/>
          <w:sz w:val="28"/>
          <w:szCs w:val="28"/>
        </w:rPr>
        <w:t xml:space="preserve"> Sanu”, stowarzyszenia rozwoju, stowarzyszenie chóralne oraz liczne koła gospodyń wiejskich.</w:t>
      </w:r>
    </w:p>
    <w:p w14:paraId="2A485797" w14:textId="26AF50AB" w:rsidR="00F04F6A" w:rsidRDefault="00F04F6A" w:rsidP="004021EE">
      <w:pPr>
        <w:pStyle w:val="Akapitzlist"/>
        <w:ind w:left="0"/>
        <w:rPr>
          <w:rFonts w:ascii="Arial" w:hAnsi="Arial" w:cs="Arial"/>
          <w:sz w:val="28"/>
          <w:szCs w:val="36"/>
        </w:rPr>
      </w:pPr>
    </w:p>
    <w:p w14:paraId="7A882EDA" w14:textId="50599602" w:rsidR="001A5A95" w:rsidRDefault="007A0D5A" w:rsidP="001A5A95">
      <w:pPr>
        <w:pStyle w:val="Akapitzlist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2F5DAC">
        <w:rPr>
          <w:rFonts w:ascii="Arial" w:hAnsi="Arial" w:cs="Arial"/>
          <w:sz w:val="28"/>
          <w:szCs w:val="28"/>
        </w:rPr>
        <w:t>Gmina Tryńcza pochwalić się może </w:t>
      </w:r>
      <w:r w:rsidR="00A212DA">
        <w:rPr>
          <w:rFonts w:ascii="Arial" w:hAnsi="Arial" w:cs="Arial"/>
          <w:sz w:val="28"/>
          <w:szCs w:val="28"/>
        </w:rPr>
        <w:t xml:space="preserve">również </w:t>
      </w:r>
      <w:r w:rsidRPr="002F5DAC">
        <w:rPr>
          <w:rFonts w:ascii="Arial" w:hAnsi="Arial" w:cs="Arial"/>
          <w:sz w:val="28"/>
          <w:szCs w:val="28"/>
        </w:rPr>
        <w:t>bogactwem wydarzeń kulturalnych, które przyciągają każdego roku liczn</w:t>
      </w:r>
      <w:r w:rsidR="004021EE" w:rsidRPr="002F5DAC">
        <w:rPr>
          <w:rFonts w:ascii="Arial" w:hAnsi="Arial" w:cs="Arial"/>
          <w:sz w:val="28"/>
          <w:szCs w:val="28"/>
        </w:rPr>
        <w:t>ą</w:t>
      </w:r>
      <w:r w:rsidRPr="002F5DAC">
        <w:rPr>
          <w:rFonts w:ascii="Arial" w:hAnsi="Arial" w:cs="Arial"/>
          <w:sz w:val="28"/>
          <w:szCs w:val="28"/>
        </w:rPr>
        <w:t xml:space="preserve"> publicznoś</w:t>
      </w:r>
      <w:r w:rsidR="004021EE" w:rsidRPr="002F5DAC">
        <w:rPr>
          <w:rFonts w:ascii="Arial" w:hAnsi="Arial" w:cs="Arial"/>
          <w:sz w:val="28"/>
          <w:szCs w:val="28"/>
        </w:rPr>
        <w:t>ć</w:t>
      </w:r>
      <w:r w:rsidRPr="002F5DAC">
        <w:rPr>
          <w:rFonts w:ascii="Arial" w:hAnsi="Arial" w:cs="Arial"/>
          <w:sz w:val="28"/>
          <w:szCs w:val="28"/>
        </w:rPr>
        <w:t>, m.in. Dni Gminy Tryńcza, które co roku przyciągają szerokie grono odbiorców</w:t>
      </w:r>
      <w:r w:rsidR="00241D81" w:rsidRPr="002F5DAC">
        <w:rPr>
          <w:rFonts w:ascii="Arial" w:hAnsi="Arial" w:cs="Arial"/>
          <w:sz w:val="28"/>
          <w:szCs w:val="28"/>
        </w:rPr>
        <w:t>.</w:t>
      </w:r>
      <w:r w:rsidRPr="002F5DAC">
        <w:rPr>
          <w:rFonts w:ascii="Arial" w:hAnsi="Arial" w:cs="Arial"/>
          <w:sz w:val="28"/>
          <w:szCs w:val="28"/>
        </w:rPr>
        <w:t xml:space="preserve"> </w:t>
      </w:r>
      <w:r w:rsidR="00241D81" w:rsidRPr="002F5DAC">
        <w:rPr>
          <w:rFonts w:ascii="Arial" w:hAnsi="Arial" w:cs="Arial"/>
          <w:sz w:val="28"/>
          <w:szCs w:val="28"/>
        </w:rPr>
        <w:t>Na gminnej</w:t>
      </w:r>
      <w:r w:rsidRPr="002F5DAC">
        <w:rPr>
          <w:rFonts w:ascii="Arial" w:hAnsi="Arial" w:cs="Arial"/>
          <w:sz w:val="28"/>
          <w:szCs w:val="28"/>
        </w:rPr>
        <w:t xml:space="preserve"> scenie gościły już największe gwiazdy branży muzycznej</w:t>
      </w:r>
      <w:r w:rsidR="00241D81" w:rsidRPr="002F5DAC">
        <w:rPr>
          <w:rFonts w:ascii="Arial" w:hAnsi="Arial" w:cs="Arial"/>
          <w:sz w:val="28"/>
          <w:szCs w:val="28"/>
        </w:rPr>
        <w:t>,</w:t>
      </w:r>
      <w:r w:rsidR="002F5DAC" w:rsidRPr="002F5DAC">
        <w:rPr>
          <w:rFonts w:ascii="Arial" w:hAnsi="Arial" w:cs="Arial"/>
          <w:sz w:val="28"/>
          <w:szCs w:val="28"/>
        </w:rPr>
        <w:t xml:space="preserve"> odbywały się</w:t>
      </w:r>
      <w:r w:rsidRPr="002F5DAC">
        <w:rPr>
          <w:rFonts w:ascii="Arial" w:hAnsi="Arial" w:cs="Arial"/>
          <w:sz w:val="28"/>
          <w:szCs w:val="28"/>
        </w:rPr>
        <w:t xml:space="preserve"> rekonstrukcje wydarzeń historycznych, Noc Świętojańska oraz inne wydarzenia angażujące społeczność lokalną. W naszym regionie </w:t>
      </w:r>
      <w:r w:rsidR="002F5DAC" w:rsidRPr="002F5DAC">
        <w:rPr>
          <w:rFonts w:ascii="Arial" w:hAnsi="Arial" w:cs="Arial"/>
          <w:sz w:val="28"/>
          <w:szCs w:val="28"/>
        </w:rPr>
        <w:t xml:space="preserve">podczas Świąt Wielkanocnych mają miejsce </w:t>
      </w:r>
      <w:r w:rsidRPr="002F5DAC">
        <w:rPr>
          <w:rFonts w:ascii="Arial" w:hAnsi="Arial" w:cs="Arial"/>
          <w:sz w:val="28"/>
          <w:szCs w:val="28"/>
        </w:rPr>
        <w:t>coroczne parady Straży Grobowej potocznie zwan</w:t>
      </w:r>
      <w:r w:rsidR="002F5DAC">
        <w:rPr>
          <w:rFonts w:ascii="Arial" w:hAnsi="Arial" w:cs="Arial"/>
          <w:sz w:val="28"/>
          <w:szCs w:val="28"/>
        </w:rPr>
        <w:t>e</w:t>
      </w:r>
      <w:r w:rsidRPr="002F5DAC">
        <w:rPr>
          <w:rFonts w:ascii="Arial" w:hAnsi="Arial" w:cs="Arial"/>
          <w:sz w:val="28"/>
          <w:szCs w:val="28"/>
        </w:rPr>
        <w:t xml:space="preserve"> „Turkami” </w:t>
      </w:r>
      <w:r w:rsidR="002F5DAC" w:rsidRPr="002F5DAC">
        <w:rPr>
          <w:rFonts w:ascii="Arial" w:hAnsi="Arial" w:cs="Arial"/>
          <w:sz w:val="28"/>
          <w:szCs w:val="28"/>
        </w:rPr>
        <w:t>niezwykle mocno osadzone w</w:t>
      </w:r>
      <w:r w:rsidR="001A5A95">
        <w:rPr>
          <w:rFonts w:ascii="Arial" w:hAnsi="Arial" w:cs="Arial"/>
          <w:sz w:val="28"/>
          <w:szCs w:val="28"/>
        </w:rPr>
        <w:t xml:space="preserve"> </w:t>
      </w:r>
      <w:r w:rsidR="002F5DAC" w:rsidRPr="002F5DAC">
        <w:rPr>
          <w:rFonts w:ascii="Arial" w:hAnsi="Arial" w:cs="Arial"/>
          <w:sz w:val="28"/>
          <w:szCs w:val="28"/>
        </w:rPr>
        <w:t>lokalnej</w:t>
      </w:r>
      <w:r w:rsidR="001A5A95">
        <w:rPr>
          <w:rFonts w:ascii="Arial" w:hAnsi="Arial" w:cs="Arial"/>
          <w:sz w:val="28"/>
          <w:szCs w:val="28"/>
        </w:rPr>
        <w:t xml:space="preserve"> </w:t>
      </w:r>
      <w:r w:rsidR="002F5DAC" w:rsidRPr="002F5DAC">
        <w:rPr>
          <w:rFonts w:ascii="Arial" w:hAnsi="Arial" w:cs="Arial"/>
          <w:sz w:val="28"/>
          <w:szCs w:val="28"/>
        </w:rPr>
        <w:t>kulturze</w:t>
      </w:r>
      <w:r w:rsidRPr="002F5DAC">
        <w:rPr>
          <w:rFonts w:ascii="Arial" w:hAnsi="Arial" w:cs="Arial"/>
          <w:sz w:val="28"/>
          <w:szCs w:val="28"/>
        </w:rPr>
        <w:t>.</w:t>
      </w:r>
    </w:p>
    <w:p w14:paraId="3140A82B" w14:textId="17DCB32E" w:rsidR="002148D0" w:rsidRPr="002F5DAC" w:rsidRDefault="002148D0" w:rsidP="001A5A95">
      <w:pPr>
        <w:pStyle w:val="Akapitzlist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14:paraId="188058B5" w14:textId="4CC96D19" w:rsidR="002148D0" w:rsidRDefault="007A0D5A" w:rsidP="00891847">
      <w:pPr>
        <w:pStyle w:val="Akapitzlist"/>
        <w:ind w:left="0"/>
        <w:jc w:val="both"/>
        <w:rPr>
          <w:rFonts w:ascii="Arial" w:hAnsi="Arial" w:cs="Arial"/>
          <w:sz w:val="28"/>
          <w:szCs w:val="36"/>
        </w:rPr>
      </w:pPr>
      <w:r w:rsidRPr="000B467F">
        <w:rPr>
          <w:rFonts w:ascii="Arial" w:hAnsi="Arial" w:cs="Arial"/>
          <w:sz w:val="28"/>
          <w:szCs w:val="36"/>
        </w:rPr>
        <w:t>Dla miłośników aktywnego spędzania wolnego czasu przygotowaliśmy szereg możliwości</w:t>
      </w:r>
      <w:r w:rsidR="00891847">
        <w:rPr>
          <w:rFonts w:ascii="Arial" w:hAnsi="Arial" w:cs="Arial"/>
          <w:sz w:val="28"/>
          <w:szCs w:val="36"/>
        </w:rPr>
        <w:t xml:space="preserve"> takich jak </w:t>
      </w:r>
      <w:r w:rsidRPr="000B467F">
        <w:rPr>
          <w:rFonts w:ascii="Arial" w:hAnsi="Arial" w:cs="Arial"/>
          <w:bCs/>
          <w:sz w:val="28"/>
          <w:szCs w:val="36"/>
        </w:rPr>
        <w:t>spływy kajakowe rzeką Wisłok</w:t>
      </w:r>
      <w:r w:rsidRPr="000B467F">
        <w:rPr>
          <w:rFonts w:ascii="Arial" w:hAnsi="Arial" w:cs="Arial"/>
          <w:sz w:val="28"/>
          <w:szCs w:val="36"/>
        </w:rPr>
        <w:t>, różnorodne </w:t>
      </w:r>
      <w:r w:rsidRPr="000B467F">
        <w:rPr>
          <w:rFonts w:ascii="Arial" w:hAnsi="Arial" w:cs="Arial"/>
          <w:bCs/>
          <w:sz w:val="28"/>
          <w:szCs w:val="36"/>
        </w:rPr>
        <w:t>trasy rowerowe </w:t>
      </w:r>
      <w:r w:rsidRPr="000B467F">
        <w:rPr>
          <w:rFonts w:ascii="Arial" w:hAnsi="Arial" w:cs="Arial"/>
          <w:sz w:val="28"/>
          <w:szCs w:val="36"/>
        </w:rPr>
        <w:t>oraz </w:t>
      </w:r>
      <w:r w:rsidR="00891847">
        <w:rPr>
          <w:rFonts w:ascii="Arial" w:hAnsi="Arial" w:cs="Arial"/>
          <w:sz w:val="28"/>
          <w:szCs w:val="36"/>
        </w:rPr>
        <w:t xml:space="preserve">ścieżki </w:t>
      </w:r>
      <w:proofErr w:type="spellStart"/>
      <w:r w:rsidRPr="000B467F">
        <w:rPr>
          <w:rFonts w:ascii="Arial" w:hAnsi="Arial" w:cs="Arial"/>
          <w:bCs/>
          <w:sz w:val="28"/>
          <w:szCs w:val="36"/>
        </w:rPr>
        <w:t>nordic</w:t>
      </w:r>
      <w:proofErr w:type="spellEnd"/>
      <w:r w:rsidR="00891847">
        <w:rPr>
          <w:rFonts w:ascii="Arial" w:hAnsi="Arial" w:cs="Arial"/>
          <w:bCs/>
          <w:sz w:val="28"/>
          <w:szCs w:val="36"/>
        </w:rPr>
        <w:t xml:space="preserve"> </w:t>
      </w:r>
      <w:proofErr w:type="spellStart"/>
      <w:r w:rsidRPr="000B467F">
        <w:rPr>
          <w:rFonts w:ascii="Arial" w:hAnsi="Arial" w:cs="Arial"/>
          <w:bCs/>
          <w:sz w:val="28"/>
          <w:szCs w:val="36"/>
        </w:rPr>
        <w:t>walking</w:t>
      </w:r>
      <w:proofErr w:type="spellEnd"/>
      <w:r w:rsidRPr="000B467F">
        <w:rPr>
          <w:rFonts w:ascii="Arial" w:hAnsi="Arial" w:cs="Arial"/>
          <w:sz w:val="28"/>
          <w:szCs w:val="36"/>
        </w:rPr>
        <w:t xml:space="preserve"> o różnym stopniu </w:t>
      </w:r>
      <w:r w:rsidRPr="000B467F">
        <w:rPr>
          <w:rFonts w:ascii="Arial" w:hAnsi="Arial" w:cs="Arial"/>
          <w:sz w:val="28"/>
          <w:szCs w:val="36"/>
        </w:rPr>
        <w:lastRenderedPageBreak/>
        <w:t>trudności a także nieograniczony </w:t>
      </w:r>
      <w:r w:rsidRPr="000B467F">
        <w:rPr>
          <w:rFonts w:ascii="Arial" w:hAnsi="Arial" w:cs="Arial"/>
          <w:bCs/>
          <w:sz w:val="28"/>
          <w:szCs w:val="36"/>
        </w:rPr>
        <w:t>dostęp do infrastruktury sportowo – rekreacyjnej</w:t>
      </w:r>
      <w:r w:rsidRPr="000B467F">
        <w:rPr>
          <w:rFonts w:ascii="Arial" w:hAnsi="Arial" w:cs="Arial"/>
          <w:sz w:val="28"/>
          <w:szCs w:val="36"/>
        </w:rPr>
        <w:t>. W</w:t>
      </w:r>
      <w:r w:rsidR="004021EE">
        <w:rPr>
          <w:rFonts w:ascii="Arial" w:hAnsi="Arial" w:cs="Arial"/>
          <w:sz w:val="28"/>
          <w:szCs w:val="36"/>
        </w:rPr>
        <w:t> </w:t>
      </w:r>
      <w:r w:rsidRPr="000B467F">
        <w:rPr>
          <w:rFonts w:ascii="Arial" w:hAnsi="Arial" w:cs="Arial"/>
          <w:sz w:val="28"/>
          <w:szCs w:val="36"/>
        </w:rPr>
        <w:t>sezonie zimowym dysponujemy także </w:t>
      </w:r>
      <w:r w:rsidRPr="000B467F">
        <w:rPr>
          <w:rFonts w:ascii="Arial" w:hAnsi="Arial" w:cs="Arial"/>
          <w:bCs/>
          <w:sz w:val="28"/>
          <w:szCs w:val="36"/>
        </w:rPr>
        <w:t>lodowiskiem „Biały Orlik”.</w:t>
      </w:r>
      <w:r w:rsidRPr="000B467F">
        <w:rPr>
          <w:rFonts w:ascii="Arial" w:hAnsi="Arial" w:cs="Arial"/>
          <w:sz w:val="28"/>
          <w:szCs w:val="36"/>
        </w:rPr>
        <w:br/>
      </w:r>
    </w:p>
    <w:p w14:paraId="0ED7DE7D" w14:textId="4790ECD0" w:rsidR="007768D2" w:rsidRPr="00E16000" w:rsidRDefault="007A0D5A" w:rsidP="00AE5F4F">
      <w:pPr>
        <w:pStyle w:val="Akapitzlist"/>
        <w:ind w:left="0"/>
        <w:jc w:val="both"/>
        <w:rPr>
          <w:rFonts w:ascii="Arial" w:hAnsi="Arial" w:cs="Arial"/>
          <w:sz w:val="28"/>
          <w:szCs w:val="36"/>
        </w:rPr>
      </w:pPr>
      <w:r w:rsidRPr="000B467F">
        <w:rPr>
          <w:rFonts w:ascii="Arial" w:hAnsi="Arial" w:cs="Arial"/>
          <w:sz w:val="28"/>
          <w:szCs w:val="36"/>
        </w:rPr>
        <w:t xml:space="preserve">Na terenie </w:t>
      </w:r>
      <w:r w:rsidR="002F294E">
        <w:rPr>
          <w:rFonts w:ascii="Arial" w:hAnsi="Arial" w:cs="Arial"/>
          <w:sz w:val="28"/>
          <w:szCs w:val="36"/>
        </w:rPr>
        <w:t>g</w:t>
      </w:r>
      <w:r w:rsidRPr="000B467F">
        <w:rPr>
          <w:rFonts w:ascii="Arial" w:hAnsi="Arial" w:cs="Arial"/>
          <w:sz w:val="28"/>
          <w:szCs w:val="36"/>
        </w:rPr>
        <w:t xml:space="preserve">miny pod </w:t>
      </w:r>
      <w:r w:rsidR="002F294E">
        <w:rPr>
          <w:rFonts w:ascii="Arial" w:hAnsi="Arial" w:cs="Arial"/>
          <w:sz w:val="28"/>
          <w:szCs w:val="36"/>
        </w:rPr>
        <w:t>patronatem Gminnego</w:t>
      </w:r>
      <w:r w:rsidRPr="000B467F">
        <w:rPr>
          <w:rFonts w:ascii="Arial" w:hAnsi="Arial" w:cs="Arial"/>
          <w:sz w:val="28"/>
          <w:szCs w:val="36"/>
        </w:rPr>
        <w:t xml:space="preserve"> Centrum Kultury </w:t>
      </w:r>
      <w:r w:rsidR="002F294E">
        <w:rPr>
          <w:rFonts w:ascii="Arial" w:hAnsi="Arial" w:cs="Arial"/>
          <w:sz w:val="28"/>
          <w:szCs w:val="36"/>
        </w:rPr>
        <w:t xml:space="preserve">i Czytelnictwa </w:t>
      </w:r>
      <w:r w:rsidRPr="000B467F">
        <w:rPr>
          <w:rFonts w:ascii="Arial" w:hAnsi="Arial" w:cs="Arial"/>
          <w:sz w:val="28"/>
          <w:szCs w:val="36"/>
        </w:rPr>
        <w:t xml:space="preserve">działają amatorskie zespoły artystyczne, które biorą aktywny udział w życiu </w:t>
      </w:r>
      <w:r w:rsidR="00AE5F4F">
        <w:rPr>
          <w:rFonts w:ascii="Arial" w:hAnsi="Arial" w:cs="Arial"/>
          <w:sz w:val="28"/>
          <w:szCs w:val="36"/>
        </w:rPr>
        <w:t>lokalnym</w:t>
      </w:r>
      <w:r w:rsidRPr="000B467F">
        <w:rPr>
          <w:rFonts w:ascii="Arial" w:hAnsi="Arial" w:cs="Arial"/>
          <w:sz w:val="28"/>
          <w:szCs w:val="36"/>
        </w:rPr>
        <w:t xml:space="preserve"> prezentując swój dorobek podczas organizowanych </w:t>
      </w:r>
      <w:r w:rsidR="002F294E">
        <w:rPr>
          <w:rFonts w:ascii="Arial" w:hAnsi="Arial" w:cs="Arial"/>
          <w:sz w:val="28"/>
          <w:szCs w:val="36"/>
        </w:rPr>
        <w:t xml:space="preserve">na terenie gminy </w:t>
      </w:r>
      <w:r w:rsidRPr="000B467F">
        <w:rPr>
          <w:rFonts w:ascii="Arial" w:hAnsi="Arial" w:cs="Arial"/>
          <w:sz w:val="28"/>
          <w:szCs w:val="36"/>
        </w:rPr>
        <w:t>wydarzeń kulturalnych.</w:t>
      </w:r>
    </w:p>
    <w:sectPr w:rsidR="007768D2" w:rsidRPr="00E16000" w:rsidSect="007A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5A"/>
    <w:rsid w:val="001A5A95"/>
    <w:rsid w:val="002148D0"/>
    <w:rsid w:val="00241D81"/>
    <w:rsid w:val="002F294E"/>
    <w:rsid w:val="002F5DAC"/>
    <w:rsid w:val="004021EE"/>
    <w:rsid w:val="006C4BAB"/>
    <w:rsid w:val="006D6774"/>
    <w:rsid w:val="00707584"/>
    <w:rsid w:val="007768D2"/>
    <w:rsid w:val="0078776E"/>
    <w:rsid w:val="007A0D5A"/>
    <w:rsid w:val="00891847"/>
    <w:rsid w:val="00920DFA"/>
    <w:rsid w:val="00A13B84"/>
    <w:rsid w:val="00A212DA"/>
    <w:rsid w:val="00A32430"/>
    <w:rsid w:val="00AE5F4F"/>
    <w:rsid w:val="00C47CE7"/>
    <w:rsid w:val="00C804BB"/>
    <w:rsid w:val="00E16000"/>
    <w:rsid w:val="00F0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FB19"/>
  <w15:chartTrackingRefBased/>
  <w15:docId w15:val="{D493E58C-10C2-4498-8F68-91C78A1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D5A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6C4B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2023-04-18T12:55:00Z</dcterms:created>
  <dcterms:modified xsi:type="dcterms:W3CDTF">2023-04-18T15:07:00Z</dcterms:modified>
</cp:coreProperties>
</file>